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40A61" w14:textId="17B9D55F" w:rsidR="001C002F" w:rsidRDefault="00893BD2" w:rsidP="005E646C">
      <w:bookmarkStart w:id="0" w:name="_GoBack"/>
      <w:bookmarkEnd w:id="0"/>
      <w:r>
        <w:t xml:space="preserve">Stojąc w obliczu odpowiedzialności za ochronę dziedzictwa przyrodniczego Polski oraz zabezpieczenia w jak najlepszym stanie wszelkiego bogactwa przyrodniczego regionu Gór </w:t>
      </w:r>
      <w:r w:rsidR="00F0273A">
        <w:t>Ś</w:t>
      </w:r>
      <w:r>
        <w:t xml:space="preserve">więtokrzyskich, </w:t>
      </w:r>
      <w:r w:rsidRPr="00893BD2">
        <w:t xml:space="preserve">mając również na sercu zobowiązanie wobec przyszłych pokoleń zabezpieczenia różnorodności biologicznej i pełnowartościowych ekosystemów warunkujących bezpieczeństwo ekologiczne Regionu i Kraju </w:t>
      </w:r>
      <w:r>
        <w:t>podejmujemy wszelkie możliwe wysiłki na rzecz wzmocnienia ochrony najcenniejszych reliktów pradawnej Puszczy Jodłowej. Jednocześnie pozostajemy w przekonaniu</w:t>
      </w:r>
      <w:r w:rsidR="00F35B9E">
        <w:t>,</w:t>
      </w:r>
      <w:r>
        <w:t xml:space="preserve"> że Świętokrzyski Park Narodowy przyczynia się bezpośrednio do rozwoju</w:t>
      </w:r>
      <w:r w:rsidR="00F0273A">
        <w:t xml:space="preserve"> regionu, m.in.</w:t>
      </w:r>
      <w:r>
        <w:t xml:space="preserve"> </w:t>
      </w:r>
      <w:r w:rsidR="00F35B9E">
        <w:t>usług</w:t>
      </w:r>
      <w:r w:rsidR="00F0273A">
        <w:t>, w szczególności związanych z turystyką i wypoczynkiem</w:t>
      </w:r>
      <w:r w:rsidR="001C002F">
        <w:t xml:space="preserve"> oraz stanowi element </w:t>
      </w:r>
      <w:r w:rsidR="00F0273A">
        <w:t>k</w:t>
      </w:r>
      <w:r w:rsidR="001C002F">
        <w:t xml:space="preserve">rajobrazu </w:t>
      </w:r>
      <w:r w:rsidR="00EC40E8">
        <w:t xml:space="preserve">warunkujący wysoką jakość </w:t>
      </w:r>
      <w:r w:rsidR="001C002F">
        <w:t xml:space="preserve">życia mieszkańców, przez oferowane możliwości rekreacji, odpoczynku i edukacji.  </w:t>
      </w:r>
    </w:p>
    <w:p w14:paraId="587EF557" w14:textId="7087C05C" w:rsidR="001C002F" w:rsidRDefault="001C002F" w:rsidP="005E646C">
      <w:r>
        <w:t>Mając powyższe na względzie, proponujemy powiększenie ŚPN o blisko 343 ha gruntów, stanowiących w 100% własność Skarbu Państwa, pozostających obecnie w zarządzie P</w:t>
      </w:r>
      <w:r w:rsidR="00F0273A">
        <w:t xml:space="preserve">aństwowego </w:t>
      </w:r>
      <w:r>
        <w:t>G</w:t>
      </w:r>
      <w:r w:rsidR="00F0273A">
        <w:t xml:space="preserve">ospodarstwa </w:t>
      </w:r>
      <w:r>
        <w:t>L</w:t>
      </w:r>
      <w:r w:rsidR="00F0273A">
        <w:t>eśnego</w:t>
      </w:r>
      <w:r>
        <w:t xml:space="preserve"> L</w:t>
      </w:r>
      <w:r w:rsidR="00F0273A">
        <w:t>asy Państwowe</w:t>
      </w:r>
      <w:r>
        <w:t xml:space="preserve">. </w:t>
      </w:r>
      <w:r>
        <w:br/>
        <w:t>W obszarze gminy Łączna są to oddziały leśne nr</w:t>
      </w:r>
      <w:r w:rsidR="0095491B">
        <w:t xml:space="preserve"> 12 i 30</w:t>
      </w:r>
      <w:r>
        <w:t xml:space="preserve">  o łącznej powierzchni 54,1224 ha. </w:t>
      </w:r>
      <w:r>
        <w:br/>
        <w:t xml:space="preserve">W gminie Masłów są to oddziały 313, 314, 315, 316, 317, 318, 321 o łącznej powierzchni </w:t>
      </w:r>
      <w:r>
        <w:br/>
        <w:t>288,6154 ha.</w:t>
      </w:r>
      <w:r w:rsidR="0095491B">
        <w:t xml:space="preserve"> Obszary te </w:t>
      </w:r>
      <w:r w:rsidR="00F0273A">
        <w:t xml:space="preserve">są </w:t>
      </w:r>
      <w:r w:rsidR="0095491B">
        <w:t xml:space="preserve">już obecnie objęte ochroną w ramach sieci Natura 2000 jako </w:t>
      </w:r>
      <w:r w:rsidR="00F0273A">
        <w:t>specjalny obszar ochrony siedlisk „</w:t>
      </w:r>
      <w:r w:rsidR="0095491B">
        <w:t>Łysogóry</w:t>
      </w:r>
      <w:r w:rsidR="00F0273A">
        <w:t>”</w:t>
      </w:r>
      <w:r w:rsidR="0095491B">
        <w:t>, którego całą pozostałą częścią Ś</w:t>
      </w:r>
      <w:r w:rsidR="00F0273A">
        <w:t xml:space="preserve">więtokrzyski </w:t>
      </w:r>
      <w:r w:rsidR="0095491B">
        <w:t>P</w:t>
      </w:r>
      <w:r w:rsidR="00F0273A">
        <w:t xml:space="preserve">ark </w:t>
      </w:r>
      <w:r w:rsidR="0095491B">
        <w:t>N</w:t>
      </w:r>
      <w:r w:rsidR="00F0273A">
        <w:t>arodowy</w:t>
      </w:r>
      <w:r w:rsidR="0095491B">
        <w:t xml:space="preserve"> już zawiaduje. Jednocześnie obszar otuliny </w:t>
      </w:r>
      <w:r w:rsidR="00F0273A">
        <w:t>Parku</w:t>
      </w:r>
      <w:r w:rsidR="0095491B">
        <w:t xml:space="preserve"> nie uleg</w:t>
      </w:r>
      <w:r w:rsidR="00F0273A">
        <w:t>nie</w:t>
      </w:r>
      <w:r w:rsidR="0095491B">
        <w:t xml:space="preserve"> zmianie</w:t>
      </w:r>
      <w:r w:rsidR="00F0273A">
        <w:t xml:space="preserve">, dzięki czemu </w:t>
      </w:r>
      <w:r w:rsidR="0095491B">
        <w:t xml:space="preserve">żaden nowy obszar nie </w:t>
      </w:r>
      <w:r w:rsidR="00F0273A">
        <w:t>będzie podlegał jakimkolwiek ograniczeniom związanym z realizacją inwestycji</w:t>
      </w:r>
      <w:r w:rsidR="0095491B">
        <w:t xml:space="preserve">, czy też </w:t>
      </w:r>
      <w:r w:rsidR="00F0273A">
        <w:t>prowadzeniem działalności gospodarczej przez</w:t>
      </w:r>
      <w:r w:rsidR="0095491B">
        <w:t xml:space="preserve"> lokalne społeczności.</w:t>
      </w:r>
      <w:r w:rsidR="00F0273A">
        <w:t xml:space="preserve"> Co więcej,</w:t>
      </w:r>
      <w:r w:rsidR="00F0273A" w:rsidRPr="00F0273A">
        <w:t xml:space="preserve"> troska o dobry stan środowiska, jak i zapewnienie infrastruktury turystycznej spoczywa przede wszystkim na administracji parku narodowego i jest finansowana z budżetu centralnego bądź ze środków zdobywanych przez </w:t>
      </w:r>
      <w:r w:rsidR="00F0273A">
        <w:t>P</w:t>
      </w:r>
      <w:r w:rsidR="00F0273A" w:rsidRPr="00F0273A">
        <w:t>ark samodzielnie</w:t>
      </w:r>
      <w:r w:rsidR="00F0273A">
        <w:t xml:space="preserve">. </w:t>
      </w:r>
      <w:r w:rsidR="00F0273A" w:rsidRPr="00F0273A">
        <w:t xml:space="preserve">Społeczności lokalne nie </w:t>
      </w:r>
      <w:r w:rsidR="00F0273A">
        <w:t>będą</w:t>
      </w:r>
      <w:r w:rsidR="00F0273A" w:rsidRPr="00F0273A">
        <w:t xml:space="preserve"> obciążane tymi kosztami, a jednocześnie mogą czerpać korzyści z udostępniania zasobów parku m.in. np. dzięki rozwojowi usług </w:t>
      </w:r>
      <w:r w:rsidR="00F0273A">
        <w:t>związanych z</w:t>
      </w:r>
      <w:r w:rsidR="00F0273A" w:rsidRPr="00F0273A">
        <w:t xml:space="preserve"> turystyk</w:t>
      </w:r>
      <w:r w:rsidR="00F0273A">
        <w:t xml:space="preserve">ą. </w:t>
      </w:r>
      <w:r w:rsidR="0095491B">
        <w:t xml:space="preserve"> </w:t>
      </w:r>
    </w:p>
    <w:p w14:paraId="1996FD19" w14:textId="77777777" w:rsidR="0095491B" w:rsidRDefault="0095491B" w:rsidP="005E646C">
      <w:r>
        <w:t xml:space="preserve">Celem zwiększenia akceptacji społecznej </w:t>
      </w:r>
      <w:r w:rsidR="00BB20E9">
        <w:t>oraz rozwiania ewentualnych obaw Ministerstwo Klimatu i Środowiska oraz Świętokrzyski Park Narodowy proponują następujący pakiet działań i deklaracji na rzecz lokalnej społeczności.</w:t>
      </w:r>
    </w:p>
    <w:p w14:paraId="50787089" w14:textId="77777777" w:rsidR="00893BD2" w:rsidRDefault="00893BD2" w:rsidP="005E646C"/>
    <w:p w14:paraId="37822A69" w14:textId="77777777" w:rsidR="005E646C" w:rsidRDefault="005E646C" w:rsidP="005E646C">
      <w:r w:rsidRPr="005E646C">
        <w:t>1. "</w:t>
      </w:r>
      <w:r w:rsidR="00BB20E9">
        <w:t>S</w:t>
      </w:r>
      <w:r w:rsidRPr="005E646C">
        <w:t>ubwencji ekologiczn</w:t>
      </w:r>
      <w:r w:rsidR="00BB20E9">
        <w:t>a</w:t>
      </w:r>
      <w:r w:rsidRPr="005E646C">
        <w:t xml:space="preserve">", </w:t>
      </w:r>
    </w:p>
    <w:p w14:paraId="17A1D48A" w14:textId="2B92256F" w:rsidR="005E646C" w:rsidRDefault="00E12B1D" w:rsidP="005E646C">
      <w:r>
        <w:t>U</w:t>
      </w:r>
      <w:r w:rsidR="005E646C" w:rsidRPr="005E646C">
        <w:t>staw</w:t>
      </w:r>
      <w:r>
        <w:t>a</w:t>
      </w:r>
      <w:r w:rsidR="005E646C" w:rsidRPr="005E646C">
        <w:t xml:space="preserve"> o dochodach jednostek samorządu terytorialnego</w:t>
      </w:r>
      <w:r w:rsidR="005E646C">
        <w:t xml:space="preserve"> </w:t>
      </w:r>
      <w:r w:rsidR="00F0273A">
        <w:t>został</w:t>
      </w:r>
      <w:r>
        <w:t>a</w:t>
      </w:r>
      <w:r w:rsidR="00F0273A">
        <w:t xml:space="preserve"> </w:t>
      </w:r>
      <w:r>
        <w:t>uchwalona</w:t>
      </w:r>
      <w:r w:rsidR="00F0273A">
        <w:t xml:space="preserve"> przez Sejm RP w dniu </w:t>
      </w:r>
      <w:r>
        <w:t>1 października 2024 r</w:t>
      </w:r>
      <w:r w:rsidR="005E646C">
        <w:t>.</w:t>
      </w:r>
      <w:r>
        <w:t xml:space="preserve"> Po zakończeniu procesu legislacyjnego w Parlamencie RP, w dniu 11 października 2024 r. ustawa została przekazana do podpisu Prezydenta RP.</w:t>
      </w:r>
    </w:p>
    <w:p w14:paraId="3663762B" w14:textId="77777777" w:rsidR="005E646C" w:rsidRDefault="005E646C" w:rsidP="005E646C">
      <w:r>
        <w:t>Zawarta w OSR „Istota zmiany” określa mechanizm wsparcia JST w zakresie potrzeb ekologicznych w następujący sposób:</w:t>
      </w:r>
    </w:p>
    <w:p w14:paraId="20B926C4" w14:textId="0BA8B147" w:rsidR="005E646C" w:rsidRDefault="005E646C" w:rsidP="005E646C">
      <w:r>
        <w:t xml:space="preserve">pkt </w:t>
      </w:r>
      <w:r w:rsidRPr="005E646C">
        <w:t>d) potrzeby ekologiczne</w:t>
      </w:r>
      <w:r w:rsidRPr="005E646C">
        <w:br/>
        <w:t>Potrzeby ekologiczne to dodatkowe wsparcie finansowe dla jednostek samorządu terytorialnego. Ustalane byłyby dla wszystkich jednostek samorządu terytorialnego, na terenie których znajdują się obszary o szczególnych walorach przyrodniczych, prawnie chronione, m.in.: parki narodowe, rezerwaty przyrody, parki krajobrazowe, obszary Natura 2000.</w:t>
      </w:r>
      <w:r w:rsidRPr="005E646C">
        <w:br/>
        <w:t xml:space="preserve">Proponuje się, aby wielkość potrzeb ekologicznych zależała od powierzchni poszczególnych form ochrony przyrody oraz stawki przyjętej dla danej formy ochrony. Potrzeby te dla danego samorządu terytorialnego obliczane byłyby jako suma iloczynów powierzchni danego obszaru chronionego i stawki za 1 ha powierzchni obszaru chronionego, przy czym proponuje się nadanie poszczególnym formom ochrony przyrody różnych wag, w zależności od wartości przyrodniczej oraz stopnia </w:t>
      </w:r>
      <w:r w:rsidRPr="005E646C">
        <w:lastRenderedPageBreak/>
        <w:t xml:space="preserve">ograniczeń działalności gospodarczej danego obszaru. </w:t>
      </w:r>
      <w:r w:rsidRPr="005E646C">
        <w:br/>
      </w:r>
      <w:r w:rsidR="00E12B1D">
        <w:t xml:space="preserve">W przypadku gmin, na obszarze których położony jest Świętokrzyski Parku Narodowy, wielkość środków, które otrzymają gminy po wyliczeniu potrzeb ekologicznych, kształtuje się w następujący sposób. </w:t>
      </w:r>
    </w:p>
    <w:p w14:paraId="04D706D1" w14:textId="77777777" w:rsidR="00E12B1D" w:rsidRDefault="00E12B1D" w:rsidP="005E646C"/>
    <w:tbl>
      <w:tblPr>
        <w:tblW w:w="10360" w:type="dxa"/>
        <w:tblCellMar>
          <w:left w:w="0" w:type="dxa"/>
          <w:right w:w="0" w:type="dxa"/>
        </w:tblCellMar>
        <w:tblLook w:val="04A0" w:firstRow="1" w:lastRow="0" w:firstColumn="1" w:lastColumn="0" w:noHBand="0" w:noVBand="1"/>
      </w:tblPr>
      <w:tblGrid>
        <w:gridCol w:w="1640"/>
        <w:gridCol w:w="1820"/>
        <w:gridCol w:w="1240"/>
        <w:gridCol w:w="1320"/>
        <w:gridCol w:w="1460"/>
        <w:gridCol w:w="1520"/>
        <w:gridCol w:w="1360"/>
      </w:tblGrid>
      <w:tr w:rsidR="00E12B1D" w:rsidRPr="00E12B1D" w14:paraId="403E6DDD" w14:textId="77777777" w:rsidTr="00E12B1D">
        <w:trPr>
          <w:trHeight w:val="1560"/>
        </w:trPr>
        <w:tc>
          <w:tcPr>
            <w:tcW w:w="1640" w:type="dxa"/>
            <w:vMerge w:val="restart"/>
            <w:tcBorders>
              <w:top w:val="single" w:sz="8" w:space="0" w:color="auto"/>
              <w:left w:val="single" w:sz="8" w:space="0" w:color="auto"/>
              <w:bottom w:val="single" w:sz="8" w:space="0" w:color="000000"/>
              <w:right w:val="single" w:sz="8" w:space="0" w:color="auto"/>
            </w:tcBorders>
            <w:shd w:val="clear" w:color="auto" w:fill="8DB4E2"/>
            <w:tcMar>
              <w:top w:w="0" w:type="dxa"/>
              <w:left w:w="70" w:type="dxa"/>
              <w:bottom w:w="0" w:type="dxa"/>
              <w:right w:w="70" w:type="dxa"/>
            </w:tcMar>
            <w:vAlign w:val="center"/>
            <w:hideMark/>
          </w:tcPr>
          <w:p w14:paraId="15B0DB45"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Świętokrzyski Park Narodowy</w:t>
            </w:r>
          </w:p>
        </w:tc>
        <w:tc>
          <w:tcPr>
            <w:tcW w:w="1820" w:type="dxa"/>
            <w:tcBorders>
              <w:top w:val="single" w:sz="8" w:space="0" w:color="auto"/>
              <w:left w:val="nil"/>
              <w:bottom w:val="single" w:sz="8" w:space="0" w:color="auto"/>
              <w:right w:val="single" w:sz="8" w:space="0" w:color="auto"/>
            </w:tcBorders>
            <w:shd w:val="clear" w:color="auto" w:fill="4F81BD"/>
            <w:noWrap/>
            <w:tcMar>
              <w:top w:w="0" w:type="dxa"/>
              <w:left w:w="70" w:type="dxa"/>
              <w:bottom w:w="0" w:type="dxa"/>
              <w:right w:w="70" w:type="dxa"/>
            </w:tcMar>
            <w:vAlign w:val="center"/>
            <w:hideMark/>
          </w:tcPr>
          <w:p w14:paraId="3CD89532"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Gmina</w:t>
            </w:r>
          </w:p>
        </w:tc>
        <w:tc>
          <w:tcPr>
            <w:tcW w:w="1240" w:type="dxa"/>
            <w:tcBorders>
              <w:top w:val="single" w:sz="8" w:space="0" w:color="auto"/>
              <w:left w:val="nil"/>
              <w:bottom w:val="single" w:sz="8" w:space="0" w:color="auto"/>
              <w:right w:val="single" w:sz="8" w:space="0" w:color="auto"/>
            </w:tcBorders>
            <w:shd w:val="clear" w:color="auto" w:fill="4F81BD"/>
            <w:tcMar>
              <w:top w:w="0" w:type="dxa"/>
              <w:left w:w="70" w:type="dxa"/>
              <w:bottom w:w="0" w:type="dxa"/>
              <w:right w:w="70" w:type="dxa"/>
            </w:tcMar>
            <w:vAlign w:val="center"/>
            <w:hideMark/>
          </w:tcPr>
          <w:p w14:paraId="5BE082AB"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Powierzchnia aktualna (ha)</w:t>
            </w:r>
          </w:p>
        </w:tc>
        <w:tc>
          <w:tcPr>
            <w:tcW w:w="1320" w:type="dxa"/>
            <w:tcBorders>
              <w:top w:val="single" w:sz="8" w:space="0" w:color="auto"/>
              <w:left w:val="nil"/>
              <w:bottom w:val="single" w:sz="8" w:space="0" w:color="auto"/>
              <w:right w:val="single" w:sz="8" w:space="0" w:color="auto"/>
            </w:tcBorders>
            <w:shd w:val="clear" w:color="auto" w:fill="4F81BD"/>
            <w:tcMar>
              <w:top w:w="0" w:type="dxa"/>
              <w:left w:w="70" w:type="dxa"/>
              <w:bottom w:w="0" w:type="dxa"/>
              <w:right w:w="70" w:type="dxa"/>
            </w:tcMar>
            <w:vAlign w:val="center"/>
            <w:hideMark/>
          </w:tcPr>
          <w:p w14:paraId="4F01BC5A"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Powierzchnia powiększenia (ha)</w:t>
            </w:r>
          </w:p>
        </w:tc>
        <w:tc>
          <w:tcPr>
            <w:tcW w:w="1460" w:type="dxa"/>
            <w:tcBorders>
              <w:top w:val="single" w:sz="8" w:space="0" w:color="auto"/>
              <w:left w:val="nil"/>
              <w:bottom w:val="single" w:sz="8" w:space="0" w:color="auto"/>
              <w:right w:val="single" w:sz="8" w:space="0" w:color="auto"/>
            </w:tcBorders>
            <w:shd w:val="clear" w:color="auto" w:fill="4F81BD"/>
            <w:tcMar>
              <w:top w:w="0" w:type="dxa"/>
              <w:left w:w="70" w:type="dxa"/>
              <w:bottom w:w="0" w:type="dxa"/>
              <w:right w:w="70" w:type="dxa"/>
            </w:tcMar>
            <w:vAlign w:val="center"/>
            <w:hideMark/>
          </w:tcPr>
          <w:p w14:paraId="10A3A78F"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Potrzeby ekologiczne aktualna powierzchnia (PLN)</w:t>
            </w:r>
          </w:p>
        </w:tc>
        <w:tc>
          <w:tcPr>
            <w:tcW w:w="1520" w:type="dxa"/>
            <w:tcBorders>
              <w:top w:val="single" w:sz="8" w:space="0" w:color="auto"/>
              <w:left w:val="nil"/>
              <w:bottom w:val="single" w:sz="8" w:space="0" w:color="auto"/>
              <w:right w:val="single" w:sz="8" w:space="0" w:color="auto"/>
            </w:tcBorders>
            <w:shd w:val="clear" w:color="auto" w:fill="4F81BD"/>
            <w:tcMar>
              <w:top w:w="0" w:type="dxa"/>
              <w:left w:w="70" w:type="dxa"/>
              <w:bottom w:w="0" w:type="dxa"/>
              <w:right w:w="70" w:type="dxa"/>
            </w:tcMar>
            <w:vAlign w:val="center"/>
            <w:hideMark/>
          </w:tcPr>
          <w:p w14:paraId="715FCAC6"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Potrzeby ekologiczne dodatkowa powierzchnia (powiększenie) (PLN)</w:t>
            </w:r>
          </w:p>
        </w:tc>
        <w:tc>
          <w:tcPr>
            <w:tcW w:w="1360" w:type="dxa"/>
            <w:tcBorders>
              <w:top w:val="single" w:sz="8" w:space="0" w:color="auto"/>
              <w:left w:val="nil"/>
              <w:bottom w:val="single" w:sz="8" w:space="0" w:color="auto"/>
              <w:right w:val="single" w:sz="8" w:space="0" w:color="auto"/>
            </w:tcBorders>
            <w:shd w:val="clear" w:color="auto" w:fill="4F81BD"/>
            <w:tcMar>
              <w:top w:w="0" w:type="dxa"/>
              <w:left w:w="70" w:type="dxa"/>
              <w:bottom w:w="0" w:type="dxa"/>
              <w:right w:w="70" w:type="dxa"/>
            </w:tcMar>
            <w:vAlign w:val="center"/>
            <w:hideMark/>
          </w:tcPr>
          <w:p w14:paraId="02F3061E" w14:textId="77777777" w:rsidR="00E12B1D" w:rsidRPr="00E12B1D" w:rsidRDefault="00E12B1D" w:rsidP="00E12B1D">
            <w:pPr>
              <w:spacing w:after="0" w:line="240" w:lineRule="auto"/>
              <w:jc w:val="center"/>
              <w:rPr>
                <w:rFonts w:ascii="Calibri" w:eastAsia="Aptos" w:hAnsi="Calibri" w:cs="Calibri"/>
                <w:sz w:val="20"/>
                <w:szCs w:val="20"/>
                <w:lang w:eastAsia="pl-PL"/>
              </w:rPr>
            </w:pPr>
            <w:r w:rsidRPr="00E12B1D">
              <w:rPr>
                <w:rFonts w:ascii="Calibri" w:eastAsia="Aptos" w:hAnsi="Calibri" w:cs="Calibri"/>
                <w:color w:val="000000"/>
                <w:sz w:val="20"/>
                <w:szCs w:val="20"/>
                <w:lang w:eastAsia="pl-PL"/>
              </w:rPr>
              <w:t>Potrzeby ekologiczne RAZEM</w:t>
            </w:r>
            <w:r w:rsidRPr="00E12B1D">
              <w:rPr>
                <w:rFonts w:ascii="Calibri" w:eastAsia="Aptos" w:hAnsi="Calibri" w:cs="Calibri"/>
                <w:color w:val="000000"/>
                <w:sz w:val="20"/>
                <w:szCs w:val="20"/>
                <w:lang w:eastAsia="pl-PL"/>
              </w:rPr>
              <w:br/>
              <w:t>(PLN)</w:t>
            </w:r>
          </w:p>
        </w:tc>
      </w:tr>
      <w:tr w:rsidR="00E12B1D" w:rsidRPr="00E12B1D" w14:paraId="532A63D3"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6097D45"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2517A393"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Miasto Bodzentyn</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EAFA46"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21</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007ED"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CE749"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13 020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91D3B5"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7387B8"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13 020</w:t>
            </w:r>
          </w:p>
        </w:tc>
      </w:tr>
      <w:tr w:rsidR="00E12B1D" w:rsidRPr="00E12B1D" w14:paraId="13AF3AF4"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C448885"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0C361B41"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Bodzentyn</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C0444A"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4230</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87CC8"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A803CF"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2 622 600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A6FF7C"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A3DF02"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2 622 600</w:t>
            </w:r>
          </w:p>
        </w:tc>
      </w:tr>
      <w:tr w:rsidR="00E12B1D" w:rsidRPr="00E12B1D" w14:paraId="7BF4EE60"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475536B"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640E1339"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Bieliny</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46C5E"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883</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BE12E3"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E765E7"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547 460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3D4E25"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EBCBC5"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547 460</w:t>
            </w:r>
          </w:p>
        </w:tc>
      </w:tr>
      <w:tr w:rsidR="00E12B1D" w:rsidRPr="00E12B1D" w14:paraId="21E2428F"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69C059"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3A0510B1"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Górno</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5E219A"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7</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3BFFD8"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2AE59"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4 340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7784F7"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 </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34E280"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4 340</w:t>
            </w:r>
          </w:p>
        </w:tc>
      </w:tr>
      <w:tr w:rsidR="00E12B1D" w:rsidRPr="00E12B1D" w14:paraId="6826490D"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0203DAC"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6FEA9B2A"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Masłów</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4F967E"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105</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4D27C9"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288,6</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FBEC7C"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65 100</w:t>
            </w:r>
          </w:p>
        </w:tc>
        <w:tc>
          <w:tcPr>
            <w:tcW w:w="152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center"/>
            <w:hideMark/>
          </w:tcPr>
          <w:p w14:paraId="53AC402A"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color w:val="000000"/>
                <w:sz w:val="20"/>
                <w:szCs w:val="20"/>
                <w:lang w:eastAsia="pl-PL"/>
              </w:rPr>
              <w:t>178 932</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267369"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244 032</w:t>
            </w:r>
          </w:p>
        </w:tc>
      </w:tr>
      <w:tr w:rsidR="00E12B1D" w:rsidRPr="00E12B1D" w14:paraId="53B518AF"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FCD639F"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257393D2"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Nowa Słupia</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FA9696"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1853</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FD447"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1,3</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2F9530"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1 148 860</w:t>
            </w:r>
          </w:p>
        </w:tc>
        <w:tc>
          <w:tcPr>
            <w:tcW w:w="152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center"/>
            <w:hideMark/>
          </w:tcPr>
          <w:p w14:paraId="3E7B33C5"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color w:val="000000"/>
                <w:sz w:val="20"/>
                <w:szCs w:val="20"/>
                <w:lang w:eastAsia="pl-PL"/>
              </w:rPr>
              <w:t>806</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DE489"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1 149 666</w:t>
            </w:r>
          </w:p>
        </w:tc>
      </w:tr>
      <w:tr w:rsidR="00E12B1D" w:rsidRPr="00E12B1D" w14:paraId="46D915DE" w14:textId="77777777" w:rsidTr="00E12B1D">
        <w:trPr>
          <w:trHeight w:val="2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80E543" w14:textId="77777777" w:rsidR="00E12B1D" w:rsidRPr="00E12B1D" w:rsidRDefault="00E12B1D" w:rsidP="00E12B1D">
            <w:pPr>
              <w:spacing w:after="0" w:line="240" w:lineRule="auto"/>
              <w:rPr>
                <w:rFonts w:ascii="Calibri" w:eastAsia="Aptos" w:hAnsi="Calibri" w:cs="Calibri"/>
                <w:sz w:val="20"/>
                <w:szCs w:val="20"/>
                <w:lang w:eastAsia="pl-PL"/>
              </w:rPr>
            </w:pPr>
          </w:p>
        </w:tc>
        <w:tc>
          <w:tcPr>
            <w:tcW w:w="1820" w:type="dxa"/>
            <w:tcBorders>
              <w:top w:val="nil"/>
              <w:left w:val="nil"/>
              <w:bottom w:val="single" w:sz="8" w:space="0" w:color="auto"/>
              <w:right w:val="single" w:sz="8" w:space="0" w:color="auto"/>
            </w:tcBorders>
            <w:tcMar>
              <w:top w:w="0" w:type="dxa"/>
              <w:left w:w="70" w:type="dxa"/>
              <w:bottom w:w="0" w:type="dxa"/>
              <w:right w:w="70" w:type="dxa"/>
            </w:tcMar>
            <w:hideMark/>
          </w:tcPr>
          <w:p w14:paraId="1CE82691" w14:textId="77777777" w:rsidR="00E12B1D" w:rsidRPr="00E12B1D" w:rsidRDefault="00E12B1D" w:rsidP="00E12B1D">
            <w:pPr>
              <w:spacing w:after="0" w:line="240" w:lineRule="auto"/>
              <w:rPr>
                <w:rFonts w:ascii="Calibri" w:eastAsia="Aptos" w:hAnsi="Calibri" w:cs="Calibri"/>
                <w:sz w:val="20"/>
                <w:szCs w:val="20"/>
                <w:lang w:eastAsia="pl-PL"/>
              </w:rPr>
            </w:pPr>
            <w:r w:rsidRPr="00E12B1D">
              <w:rPr>
                <w:rFonts w:ascii="Calibri" w:eastAsia="Aptos" w:hAnsi="Calibri" w:cs="Calibri"/>
                <w:sz w:val="20"/>
                <w:szCs w:val="20"/>
                <w:lang w:eastAsia="pl-PL"/>
              </w:rPr>
              <w:t>Łączna</w:t>
            </w:r>
          </w:p>
        </w:tc>
        <w:tc>
          <w:tcPr>
            <w:tcW w:w="12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1C3962"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527</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D21AA1"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54,1</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54448A"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326 740</w:t>
            </w:r>
          </w:p>
        </w:tc>
        <w:tc>
          <w:tcPr>
            <w:tcW w:w="152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center"/>
            <w:hideMark/>
          </w:tcPr>
          <w:p w14:paraId="28D648DD"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color w:val="000000"/>
                <w:sz w:val="20"/>
                <w:szCs w:val="20"/>
                <w:lang w:eastAsia="pl-PL"/>
              </w:rPr>
              <w:t>33 542</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B611E3" w14:textId="77777777" w:rsidR="00E12B1D" w:rsidRPr="00E12B1D" w:rsidRDefault="00E12B1D" w:rsidP="00E12B1D">
            <w:pPr>
              <w:spacing w:after="0" w:line="240" w:lineRule="auto"/>
              <w:jc w:val="right"/>
              <w:rPr>
                <w:rFonts w:ascii="Calibri" w:eastAsia="Aptos" w:hAnsi="Calibri" w:cs="Calibri"/>
                <w:sz w:val="20"/>
                <w:szCs w:val="20"/>
                <w:lang w:eastAsia="pl-PL"/>
              </w:rPr>
            </w:pPr>
            <w:r w:rsidRPr="00E12B1D">
              <w:rPr>
                <w:rFonts w:ascii="Calibri" w:eastAsia="Aptos" w:hAnsi="Calibri" w:cs="Calibri"/>
                <w:sz w:val="20"/>
                <w:szCs w:val="20"/>
                <w:lang w:eastAsia="pl-PL"/>
              </w:rPr>
              <w:t>360 282</w:t>
            </w:r>
          </w:p>
        </w:tc>
      </w:tr>
      <w:tr w:rsidR="00E12B1D" w:rsidRPr="00E12B1D" w14:paraId="695D41F8" w14:textId="77777777" w:rsidTr="00E12B1D">
        <w:trPr>
          <w:trHeight w:val="260"/>
        </w:trPr>
        <w:tc>
          <w:tcPr>
            <w:tcW w:w="1640" w:type="dxa"/>
            <w:tcBorders>
              <w:top w:val="nil"/>
              <w:left w:val="single" w:sz="8" w:space="0" w:color="auto"/>
              <w:bottom w:val="single" w:sz="8" w:space="0" w:color="auto"/>
              <w:right w:val="single" w:sz="8" w:space="0" w:color="auto"/>
            </w:tcBorders>
            <w:shd w:val="clear" w:color="auto" w:fill="FFC000"/>
            <w:noWrap/>
            <w:tcMar>
              <w:top w:w="0" w:type="dxa"/>
              <w:left w:w="70" w:type="dxa"/>
              <w:bottom w:w="0" w:type="dxa"/>
              <w:right w:w="70" w:type="dxa"/>
            </w:tcMar>
            <w:vAlign w:val="bottom"/>
            <w:hideMark/>
          </w:tcPr>
          <w:p w14:paraId="1128CEC7" w14:textId="77777777" w:rsidR="00E12B1D" w:rsidRPr="00E12B1D" w:rsidRDefault="00E12B1D" w:rsidP="00E12B1D">
            <w:pPr>
              <w:spacing w:after="0" w:line="240" w:lineRule="auto"/>
              <w:rPr>
                <w:rFonts w:ascii="Calibri" w:eastAsia="Aptos" w:hAnsi="Calibri" w:cs="Calibri"/>
                <w:b/>
                <w:bCs/>
                <w:sz w:val="20"/>
                <w:szCs w:val="20"/>
                <w:lang w:eastAsia="pl-PL"/>
              </w:rPr>
            </w:pPr>
            <w:r w:rsidRPr="00E12B1D">
              <w:rPr>
                <w:rFonts w:ascii="Calibri" w:eastAsia="Aptos" w:hAnsi="Calibri" w:cs="Calibri"/>
                <w:b/>
                <w:bCs/>
                <w:color w:val="000000"/>
                <w:sz w:val="20"/>
                <w:szCs w:val="20"/>
                <w:lang w:eastAsia="pl-PL"/>
              </w:rPr>
              <w:t>RAZEM</w:t>
            </w:r>
          </w:p>
        </w:tc>
        <w:tc>
          <w:tcPr>
            <w:tcW w:w="1820" w:type="dxa"/>
            <w:tcBorders>
              <w:top w:val="nil"/>
              <w:left w:val="nil"/>
              <w:bottom w:val="single" w:sz="8" w:space="0" w:color="auto"/>
              <w:right w:val="single" w:sz="8" w:space="0" w:color="auto"/>
            </w:tcBorders>
            <w:shd w:val="clear" w:color="auto" w:fill="FFC000"/>
            <w:noWrap/>
            <w:tcMar>
              <w:top w:w="0" w:type="dxa"/>
              <w:left w:w="70" w:type="dxa"/>
              <w:bottom w:w="0" w:type="dxa"/>
              <w:right w:w="70" w:type="dxa"/>
            </w:tcMar>
            <w:hideMark/>
          </w:tcPr>
          <w:p w14:paraId="659155B3" w14:textId="77777777" w:rsidR="00E12B1D" w:rsidRPr="00E12B1D" w:rsidRDefault="00E12B1D" w:rsidP="00E12B1D">
            <w:pPr>
              <w:spacing w:after="0" w:line="240" w:lineRule="auto"/>
              <w:rPr>
                <w:rFonts w:ascii="Arial" w:eastAsia="Aptos" w:hAnsi="Arial" w:cs="Arial"/>
                <w:b/>
                <w:bCs/>
                <w:sz w:val="20"/>
                <w:szCs w:val="20"/>
                <w:lang w:eastAsia="pl-PL"/>
              </w:rPr>
            </w:pPr>
            <w:r w:rsidRPr="00E12B1D">
              <w:rPr>
                <w:rFonts w:ascii="Arial" w:eastAsia="Aptos" w:hAnsi="Arial" w:cs="Arial"/>
                <w:b/>
                <w:bCs/>
                <w:color w:val="000000"/>
                <w:sz w:val="20"/>
                <w:szCs w:val="20"/>
                <w:lang w:eastAsia="pl-PL"/>
              </w:rPr>
              <w:t> </w:t>
            </w:r>
          </w:p>
        </w:tc>
        <w:tc>
          <w:tcPr>
            <w:tcW w:w="1240" w:type="dxa"/>
            <w:tcBorders>
              <w:top w:val="nil"/>
              <w:left w:val="nil"/>
              <w:bottom w:val="single" w:sz="8" w:space="0" w:color="auto"/>
              <w:right w:val="single" w:sz="8" w:space="0" w:color="auto"/>
            </w:tcBorders>
            <w:shd w:val="clear" w:color="auto" w:fill="FFC000"/>
            <w:noWrap/>
            <w:tcMar>
              <w:top w:w="0" w:type="dxa"/>
              <w:left w:w="70" w:type="dxa"/>
              <w:bottom w:w="0" w:type="dxa"/>
              <w:right w:w="70" w:type="dxa"/>
            </w:tcMar>
            <w:vAlign w:val="bottom"/>
            <w:hideMark/>
          </w:tcPr>
          <w:p w14:paraId="139190B7" w14:textId="77777777" w:rsidR="00E12B1D" w:rsidRPr="00E12B1D" w:rsidRDefault="00E12B1D" w:rsidP="00E12B1D">
            <w:pPr>
              <w:spacing w:after="0" w:line="240" w:lineRule="auto"/>
              <w:jc w:val="right"/>
              <w:rPr>
                <w:rFonts w:ascii="Calibri" w:eastAsia="Aptos" w:hAnsi="Calibri" w:cs="Calibri"/>
                <w:b/>
                <w:bCs/>
                <w:sz w:val="20"/>
                <w:szCs w:val="20"/>
                <w:lang w:eastAsia="pl-PL"/>
              </w:rPr>
            </w:pPr>
            <w:r w:rsidRPr="00E12B1D">
              <w:rPr>
                <w:rFonts w:ascii="Calibri" w:eastAsia="Aptos" w:hAnsi="Calibri" w:cs="Calibri"/>
                <w:b/>
                <w:bCs/>
                <w:color w:val="000000"/>
                <w:sz w:val="20"/>
                <w:szCs w:val="20"/>
                <w:lang w:eastAsia="pl-PL"/>
              </w:rPr>
              <w:t>7626</w:t>
            </w:r>
          </w:p>
        </w:tc>
        <w:tc>
          <w:tcPr>
            <w:tcW w:w="1320" w:type="dxa"/>
            <w:tcBorders>
              <w:top w:val="nil"/>
              <w:left w:val="nil"/>
              <w:bottom w:val="single" w:sz="8" w:space="0" w:color="auto"/>
              <w:right w:val="single" w:sz="8" w:space="0" w:color="auto"/>
            </w:tcBorders>
            <w:shd w:val="clear" w:color="auto" w:fill="FFC000"/>
            <w:noWrap/>
            <w:tcMar>
              <w:top w:w="0" w:type="dxa"/>
              <w:left w:w="70" w:type="dxa"/>
              <w:bottom w:w="0" w:type="dxa"/>
              <w:right w:w="70" w:type="dxa"/>
            </w:tcMar>
            <w:vAlign w:val="bottom"/>
            <w:hideMark/>
          </w:tcPr>
          <w:p w14:paraId="52698A68" w14:textId="77777777" w:rsidR="00E12B1D" w:rsidRPr="00E12B1D" w:rsidRDefault="00E12B1D" w:rsidP="00E12B1D">
            <w:pPr>
              <w:spacing w:after="0" w:line="240" w:lineRule="auto"/>
              <w:jc w:val="right"/>
              <w:rPr>
                <w:rFonts w:ascii="Calibri" w:eastAsia="Aptos" w:hAnsi="Calibri" w:cs="Calibri"/>
                <w:b/>
                <w:bCs/>
                <w:sz w:val="20"/>
                <w:szCs w:val="20"/>
                <w:lang w:eastAsia="pl-PL"/>
              </w:rPr>
            </w:pPr>
            <w:r w:rsidRPr="00E12B1D">
              <w:rPr>
                <w:rFonts w:ascii="Calibri" w:eastAsia="Aptos" w:hAnsi="Calibri" w:cs="Calibri"/>
                <w:b/>
                <w:bCs/>
                <w:color w:val="000000"/>
                <w:sz w:val="20"/>
                <w:szCs w:val="20"/>
                <w:lang w:eastAsia="pl-PL"/>
              </w:rPr>
              <w:t>344</w:t>
            </w:r>
          </w:p>
        </w:tc>
        <w:tc>
          <w:tcPr>
            <w:tcW w:w="1460" w:type="dxa"/>
            <w:tcBorders>
              <w:top w:val="nil"/>
              <w:left w:val="nil"/>
              <w:bottom w:val="single" w:sz="8" w:space="0" w:color="auto"/>
              <w:right w:val="single" w:sz="8" w:space="0" w:color="auto"/>
            </w:tcBorders>
            <w:shd w:val="clear" w:color="auto" w:fill="FFC000"/>
            <w:noWrap/>
            <w:tcMar>
              <w:top w:w="0" w:type="dxa"/>
              <w:left w:w="70" w:type="dxa"/>
              <w:bottom w:w="0" w:type="dxa"/>
              <w:right w:w="70" w:type="dxa"/>
            </w:tcMar>
            <w:vAlign w:val="bottom"/>
            <w:hideMark/>
          </w:tcPr>
          <w:p w14:paraId="35EF8E06" w14:textId="77777777" w:rsidR="00E12B1D" w:rsidRPr="00E12B1D" w:rsidRDefault="00E12B1D" w:rsidP="00E12B1D">
            <w:pPr>
              <w:spacing w:after="0" w:line="240" w:lineRule="auto"/>
              <w:jc w:val="right"/>
              <w:rPr>
                <w:rFonts w:ascii="Calibri" w:eastAsia="Aptos" w:hAnsi="Calibri" w:cs="Calibri"/>
                <w:b/>
                <w:bCs/>
                <w:sz w:val="20"/>
                <w:szCs w:val="20"/>
                <w:lang w:eastAsia="pl-PL"/>
              </w:rPr>
            </w:pPr>
            <w:r w:rsidRPr="00E12B1D">
              <w:rPr>
                <w:rFonts w:ascii="Calibri" w:eastAsia="Aptos" w:hAnsi="Calibri" w:cs="Calibri"/>
                <w:b/>
                <w:bCs/>
                <w:color w:val="000000"/>
                <w:sz w:val="20"/>
                <w:szCs w:val="20"/>
                <w:lang w:eastAsia="pl-PL"/>
              </w:rPr>
              <w:t>4 728 120</w:t>
            </w:r>
          </w:p>
        </w:tc>
        <w:tc>
          <w:tcPr>
            <w:tcW w:w="1520" w:type="dxa"/>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422858A4" w14:textId="77777777" w:rsidR="00E12B1D" w:rsidRPr="00E12B1D" w:rsidRDefault="00E12B1D" w:rsidP="00E12B1D">
            <w:pPr>
              <w:spacing w:after="0" w:line="240" w:lineRule="auto"/>
              <w:jc w:val="right"/>
              <w:rPr>
                <w:rFonts w:ascii="Calibri" w:eastAsia="Aptos" w:hAnsi="Calibri" w:cs="Calibri"/>
                <w:b/>
                <w:bCs/>
                <w:sz w:val="20"/>
                <w:szCs w:val="20"/>
                <w:lang w:eastAsia="pl-PL"/>
              </w:rPr>
            </w:pPr>
            <w:r w:rsidRPr="00E12B1D">
              <w:rPr>
                <w:rFonts w:ascii="Calibri" w:eastAsia="Aptos" w:hAnsi="Calibri" w:cs="Calibri"/>
                <w:b/>
                <w:bCs/>
                <w:color w:val="000000"/>
                <w:sz w:val="20"/>
                <w:szCs w:val="20"/>
                <w:lang w:eastAsia="pl-PL"/>
              </w:rPr>
              <w:t>213 280</w:t>
            </w:r>
          </w:p>
        </w:tc>
        <w:tc>
          <w:tcPr>
            <w:tcW w:w="1360" w:type="dxa"/>
            <w:tcBorders>
              <w:top w:val="nil"/>
              <w:left w:val="nil"/>
              <w:bottom w:val="single" w:sz="8" w:space="0" w:color="auto"/>
              <w:right w:val="single" w:sz="8" w:space="0" w:color="auto"/>
            </w:tcBorders>
            <w:shd w:val="clear" w:color="auto" w:fill="FFC000"/>
            <w:noWrap/>
            <w:tcMar>
              <w:top w:w="0" w:type="dxa"/>
              <w:left w:w="70" w:type="dxa"/>
              <w:bottom w:w="0" w:type="dxa"/>
              <w:right w:w="70" w:type="dxa"/>
            </w:tcMar>
            <w:vAlign w:val="bottom"/>
            <w:hideMark/>
          </w:tcPr>
          <w:p w14:paraId="20DD6AF7" w14:textId="77777777" w:rsidR="00E12B1D" w:rsidRPr="00E12B1D" w:rsidRDefault="00E12B1D" w:rsidP="00E12B1D">
            <w:pPr>
              <w:spacing w:after="0" w:line="240" w:lineRule="auto"/>
              <w:jc w:val="right"/>
              <w:rPr>
                <w:rFonts w:ascii="Calibri" w:eastAsia="Aptos" w:hAnsi="Calibri" w:cs="Calibri"/>
                <w:b/>
                <w:bCs/>
                <w:sz w:val="20"/>
                <w:szCs w:val="20"/>
                <w:lang w:eastAsia="pl-PL"/>
              </w:rPr>
            </w:pPr>
            <w:r w:rsidRPr="00E12B1D">
              <w:rPr>
                <w:rFonts w:ascii="Calibri" w:eastAsia="Aptos" w:hAnsi="Calibri" w:cs="Calibri"/>
                <w:b/>
                <w:bCs/>
                <w:color w:val="000000"/>
                <w:sz w:val="20"/>
                <w:szCs w:val="20"/>
                <w:lang w:eastAsia="pl-PL"/>
              </w:rPr>
              <w:t>4 941 400</w:t>
            </w:r>
          </w:p>
        </w:tc>
      </w:tr>
    </w:tbl>
    <w:p w14:paraId="3FC18933" w14:textId="77777777" w:rsidR="00E12B1D" w:rsidRPr="005E646C" w:rsidRDefault="00E12B1D" w:rsidP="005E646C"/>
    <w:p w14:paraId="7A10EA31" w14:textId="0B8F3A60" w:rsidR="005E646C" w:rsidRDefault="008A2A92" w:rsidP="005E646C">
      <w:r>
        <w:t>2</w:t>
      </w:r>
      <w:r w:rsidR="005E646C" w:rsidRPr="005E646C">
        <w:t>. Gwarancja wstępu do lasów objętych włączeniem do Ś</w:t>
      </w:r>
      <w:r w:rsidR="00E12B1D">
        <w:t xml:space="preserve">więtokrzyskiego </w:t>
      </w:r>
      <w:r w:rsidR="005E646C" w:rsidRPr="005E646C">
        <w:t>P</w:t>
      </w:r>
      <w:r w:rsidR="00E12B1D">
        <w:t xml:space="preserve">arku </w:t>
      </w:r>
      <w:r w:rsidR="005E646C" w:rsidRPr="005E646C">
        <w:t>N</w:t>
      </w:r>
      <w:r w:rsidR="00E12B1D">
        <w:t>arodowego</w:t>
      </w:r>
      <w:r w:rsidR="005E646C" w:rsidRPr="005E646C">
        <w:t xml:space="preserve"> dla mieszkańców gmin M</w:t>
      </w:r>
      <w:r>
        <w:t>asłów</w:t>
      </w:r>
      <w:r w:rsidR="005E646C" w:rsidRPr="005E646C">
        <w:t xml:space="preserve"> i Ł</w:t>
      </w:r>
      <w:r>
        <w:t>ączna</w:t>
      </w:r>
      <w:r w:rsidR="00BB20E9">
        <w:t>.</w:t>
      </w:r>
    </w:p>
    <w:p w14:paraId="75F55475" w14:textId="1D01E916" w:rsidR="001E69DB" w:rsidRPr="005E646C" w:rsidRDefault="008A2A92" w:rsidP="005E646C">
      <w:r>
        <w:t xml:space="preserve">Zgodnie z art. 15 </w:t>
      </w:r>
      <w:r w:rsidR="00E12B1D">
        <w:t xml:space="preserve">ust. 1 </w:t>
      </w:r>
      <w:r>
        <w:t>pkt 13 ustawy o ochronie przyrody</w:t>
      </w:r>
      <w:r w:rsidR="00E12B1D">
        <w:t>,</w:t>
      </w:r>
      <w:r>
        <w:t xml:space="preserve"> zbiór owoców runa leśnego na terenie parku narodowego jest zabroniony z wyjątkiem miejsc wskazanych przez dyrektora parku. </w:t>
      </w:r>
      <w:r w:rsidR="001E69DB">
        <w:t xml:space="preserve">W </w:t>
      </w:r>
      <w:r>
        <w:t xml:space="preserve">tym </w:t>
      </w:r>
      <w:r w:rsidR="001E69DB">
        <w:t xml:space="preserve">zakresie </w:t>
      </w:r>
      <w:r>
        <w:t xml:space="preserve">Dyrektor </w:t>
      </w:r>
      <w:bookmarkStart w:id="1" w:name="_Hlk179909820"/>
      <w:r>
        <w:t>Ś</w:t>
      </w:r>
      <w:r w:rsidR="00E12B1D">
        <w:t xml:space="preserve">więtokrzyskiego </w:t>
      </w:r>
      <w:r>
        <w:t>P</w:t>
      </w:r>
      <w:r w:rsidR="00E12B1D">
        <w:t xml:space="preserve">arku </w:t>
      </w:r>
      <w:r>
        <w:t>N</w:t>
      </w:r>
      <w:r w:rsidR="00E12B1D">
        <w:t>arodowego</w:t>
      </w:r>
      <w:bookmarkEnd w:id="1"/>
      <w:r>
        <w:t xml:space="preserve">, przy pełnym wsparciu Ministerstwa Klimatu i Środowiska, deklaruje </w:t>
      </w:r>
      <w:r w:rsidR="001E69DB">
        <w:t>zabezpieczeni</w:t>
      </w:r>
      <w:r>
        <w:t>e</w:t>
      </w:r>
      <w:r w:rsidR="001E69DB">
        <w:t xml:space="preserve"> dostępności lasów </w:t>
      </w:r>
      <w:r w:rsidR="00B071DA">
        <w:t xml:space="preserve">włączanych do </w:t>
      </w:r>
      <w:r w:rsidR="00E12B1D">
        <w:t xml:space="preserve">Parku </w:t>
      </w:r>
      <w:r w:rsidR="001E69DB">
        <w:t>m</w:t>
      </w:r>
      <w:r>
        <w:t>ieszkańcom gmin Masłów i Łączna. Nastąpi to w drodze zarządzenia</w:t>
      </w:r>
      <w:r w:rsidR="001E69DB">
        <w:t xml:space="preserve"> Dyrektora </w:t>
      </w:r>
      <w:r w:rsidR="00E12B1D" w:rsidRPr="00E12B1D">
        <w:t>Świętokrzyskiego Parku Narodowego</w:t>
      </w:r>
      <w:r w:rsidR="00E12B1D" w:rsidRPr="00E12B1D" w:rsidDel="00E12B1D">
        <w:t xml:space="preserve"> </w:t>
      </w:r>
      <w:r w:rsidR="001E69DB">
        <w:t xml:space="preserve"> </w:t>
      </w:r>
      <w:r>
        <w:t>wydanego po przyłączeniu wnioskowanych obszarów do Parku.</w:t>
      </w:r>
      <w:r w:rsidR="00E12B1D">
        <w:t xml:space="preserve"> Wcześniejsze wydanie zarządzenia nie jest możliwe, gdyż może ono dotyczyć wyłączenie obszaru parku narodowego.</w:t>
      </w:r>
    </w:p>
    <w:p w14:paraId="599492BB" w14:textId="5783D34C" w:rsidR="00E12B1D" w:rsidRDefault="008A2A92" w:rsidP="005E646C">
      <w:r>
        <w:t>3</w:t>
      </w:r>
      <w:r w:rsidR="005E646C" w:rsidRPr="005E646C">
        <w:t xml:space="preserve">. Gwarancja niezmienności </w:t>
      </w:r>
      <w:r w:rsidR="00E12B1D">
        <w:t>miejscowego planu zagospodarowania przestrzennego</w:t>
      </w:r>
      <w:r w:rsidR="00E12B1D" w:rsidRPr="005E646C">
        <w:t xml:space="preserve"> </w:t>
      </w:r>
      <w:r w:rsidR="005E646C" w:rsidRPr="005E646C">
        <w:t xml:space="preserve">dla gminy Masłów oraz deklaracja </w:t>
      </w:r>
      <w:r w:rsidR="00BB20E9">
        <w:t>elastyczności</w:t>
      </w:r>
      <w:r w:rsidR="005E646C" w:rsidRPr="005E646C">
        <w:t xml:space="preserve"> w zakres</w:t>
      </w:r>
      <w:r w:rsidR="00BB20E9">
        <w:t xml:space="preserve">ie zmiany </w:t>
      </w:r>
      <w:r w:rsidR="00E12B1D" w:rsidRPr="00E12B1D">
        <w:t>miejscowego planu zagospodarowania przestrzennego</w:t>
      </w:r>
      <w:r w:rsidR="00BB20E9">
        <w:t xml:space="preserve"> dla gminy Łączna.</w:t>
      </w:r>
      <w:r>
        <w:t xml:space="preserve"> </w:t>
      </w:r>
    </w:p>
    <w:p w14:paraId="5FB5F3AE" w14:textId="77EB2B29" w:rsidR="005E646C" w:rsidRDefault="008A2A92" w:rsidP="005E646C">
      <w:r>
        <w:t>W zakresie ograniczeń w zagospodarowaniu przestrzennym nie ma podstaw do przewidywania jakichkolwiek nowych utrudnień. Obszar obj</w:t>
      </w:r>
      <w:r w:rsidR="008A18E8">
        <w:t xml:space="preserve">ęty otuliną </w:t>
      </w:r>
      <w:r w:rsidR="00E12B1D" w:rsidRPr="00E12B1D">
        <w:t>Świętokrzyskiego Parku Narodowego</w:t>
      </w:r>
      <w:r w:rsidR="008A18E8">
        <w:t xml:space="preserve"> nie zmienia się, tak więc zachowany jest obecny status quo. Nie ma instrumentów</w:t>
      </w:r>
      <w:r w:rsidR="00B071DA">
        <w:t>,</w:t>
      </w:r>
      <w:r w:rsidR="008A18E8">
        <w:t xml:space="preserve"> które umożliwiałyby</w:t>
      </w:r>
      <w:r w:rsidR="00BB20E9" w:rsidRPr="00BB20E9">
        <w:t xml:space="preserve"> na obecnym</w:t>
      </w:r>
      <w:r w:rsidR="00BB20E9">
        <w:t xml:space="preserve"> etapie</w:t>
      </w:r>
      <w:r w:rsidR="008A18E8">
        <w:t xml:space="preserve"> </w:t>
      </w:r>
      <w:r w:rsidR="00B071DA">
        <w:t xml:space="preserve">ingerencję </w:t>
      </w:r>
      <w:r w:rsidR="00E12B1D" w:rsidRPr="00E12B1D">
        <w:t>Świętokrzyskiego Parku Narodowego</w:t>
      </w:r>
      <w:r w:rsidR="00B071DA">
        <w:t xml:space="preserve"> </w:t>
      </w:r>
      <w:r w:rsidR="008A18E8">
        <w:t>w zapisy obowiązującego miejscowego planu zagospodarowania przestrzennego.</w:t>
      </w:r>
      <w:r w:rsidR="00B071DA">
        <w:t xml:space="preserve"> </w:t>
      </w:r>
      <w:r w:rsidR="00BB20E9">
        <w:br/>
      </w:r>
      <w:r w:rsidR="00B071DA">
        <w:t xml:space="preserve">W przypadku gminy Łączna, jeżeli istnieje wola zmiany </w:t>
      </w:r>
      <w:r w:rsidR="00E12B1D" w:rsidRPr="00E12B1D">
        <w:t>miejscowego planu zagospodarowania przestrzennego</w:t>
      </w:r>
      <w:r w:rsidR="00B071DA">
        <w:t xml:space="preserve"> dla miejscowości Klonów</w:t>
      </w:r>
      <w:r w:rsidR="00BB20E9">
        <w:t>,</w:t>
      </w:r>
      <w:r w:rsidR="00B071DA">
        <w:t xml:space="preserve"> to w zakresie dopuszczenia zabudowy mieszkaniowej </w:t>
      </w:r>
      <w:r w:rsidR="00E12B1D">
        <w:t xml:space="preserve">Park </w:t>
      </w:r>
      <w:r w:rsidR="00B071DA">
        <w:t>widzi możliwość wydania pozytywnej opinii.</w:t>
      </w:r>
    </w:p>
    <w:p w14:paraId="2354B6B7" w14:textId="42CCA65C" w:rsidR="00E12B1D" w:rsidRPr="00C47871" w:rsidRDefault="00E12B1D" w:rsidP="005E646C">
      <w:pPr>
        <w:rPr>
          <w:u w:val="double"/>
        </w:rPr>
      </w:pPr>
      <w:r>
        <w:t>Jednocześnie w planie ochrony Świętokrzyskiego Parku Narodowego znajdzie się, przepis wskazujący, że jego postanowień w zakresie ustaleń do miejscowych planów zagospodarowania przestrzennego, nie stosuje się do dokumentów, które zostały uzgodnione z Dyrektorem Świętokrzyskiego Parku Narodowego.</w:t>
      </w:r>
    </w:p>
    <w:p w14:paraId="625238B2" w14:textId="2542951B" w:rsidR="005E646C" w:rsidRDefault="00707B16" w:rsidP="005E646C">
      <w:r>
        <w:lastRenderedPageBreak/>
        <w:t>4</w:t>
      </w:r>
      <w:r w:rsidR="005E646C" w:rsidRPr="005E646C">
        <w:t xml:space="preserve">. Zagospodarowanie turystyczne </w:t>
      </w:r>
      <w:r w:rsidR="002770FB">
        <w:t xml:space="preserve">i edukacja na terenach </w:t>
      </w:r>
      <w:r w:rsidR="00E12B1D">
        <w:t>włączonych w obszar Świętokrzyskiego Parku Narodowego.</w:t>
      </w:r>
    </w:p>
    <w:p w14:paraId="0755E061" w14:textId="658E7BD4" w:rsidR="001E69DB" w:rsidRDefault="001E69DB" w:rsidP="005E646C">
      <w:bookmarkStart w:id="2" w:name="_Hlk179910184"/>
      <w:r>
        <w:t xml:space="preserve">Świętokrzyski Park Narodowy </w:t>
      </w:r>
      <w:bookmarkEnd w:id="2"/>
      <w:r>
        <w:t xml:space="preserve">w ostatnim czasie udostępnił </w:t>
      </w:r>
      <w:r w:rsidR="002770FB">
        <w:t xml:space="preserve">pieszo-rowerową </w:t>
      </w:r>
      <w:r>
        <w:t xml:space="preserve">ścieżkę edukacyjną </w:t>
      </w:r>
      <w:r w:rsidR="00B071DA" w:rsidRPr="00B071DA">
        <w:t>im. Mariana Sołtysiaka ps. „Barabasz”</w:t>
      </w:r>
      <w:r w:rsidR="00B071DA">
        <w:t xml:space="preserve">, </w:t>
      </w:r>
      <w:r>
        <w:t>od Zalewu Wilkowskiego na Bukową Górę. Trasa ta jest sukcesywnie uzbraja</w:t>
      </w:r>
      <w:r w:rsidR="00B071DA">
        <w:t>na w infrastrukturę turystyczną</w:t>
      </w:r>
      <w:r w:rsidR="002770FB">
        <w:t xml:space="preserve"> i edukacyjną</w:t>
      </w:r>
      <w:r w:rsidR="00B071DA">
        <w:t xml:space="preserve">. Jest jak najbardziej uzasadnione, aby po rozszerzeniu obszaru </w:t>
      </w:r>
      <w:r w:rsidR="00E12B1D" w:rsidRPr="00E12B1D">
        <w:t>Świętokrzyskiego Parku Narodowego</w:t>
      </w:r>
      <w:r w:rsidR="00B071DA">
        <w:t xml:space="preserve"> w kierunku zachodnim, przygotować łącznik wiodący do ścieżki edukacyjnej wzdłuż śladu kolejki wąskotorowej w kierunku </w:t>
      </w:r>
      <w:proofErr w:type="spellStart"/>
      <w:r w:rsidR="00CA5883">
        <w:t>Barczy</w:t>
      </w:r>
      <w:proofErr w:type="spellEnd"/>
      <w:r w:rsidR="00CA5883">
        <w:t xml:space="preserve"> i </w:t>
      </w:r>
      <w:r w:rsidR="00B071DA">
        <w:t>Zagnańska</w:t>
      </w:r>
      <w:r w:rsidR="00CA5883">
        <w:t xml:space="preserve">. W miarę dostępności środków </w:t>
      </w:r>
      <w:r w:rsidR="00E12B1D" w:rsidRPr="00E12B1D">
        <w:t>Świętokrzyski Park Narodowy</w:t>
      </w:r>
      <w:r w:rsidR="00CA5883">
        <w:t xml:space="preserve"> deklaruje podjęcie takich działań.</w:t>
      </w:r>
      <w:r w:rsidR="002770FB">
        <w:t xml:space="preserve"> Poza tym deklarujemy dalszą współprac</w:t>
      </w:r>
      <w:r w:rsidR="00E12B1D">
        <w:t>ę</w:t>
      </w:r>
      <w:r w:rsidR="002770FB">
        <w:t xml:space="preserve"> w innych przedsięwzięciach edukacyjnych lub turystycznych zlokalizowanych w bezpośrednim sąsiedztwie </w:t>
      </w:r>
      <w:r w:rsidR="00E12B1D">
        <w:t>Parku</w:t>
      </w:r>
      <w:r w:rsidR="002770FB">
        <w:t xml:space="preserve">. </w:t>
      </w:r>
    </w:p>
    <w:p w14:paraId="048DA94E" w14:textId="77777777" w:rsidR="00707B16" w:rsidRPr="005E646C" w:rsidRDefault="00707B16" w:rsidP="005E646C">
      <w:r>
        <w:t>5. Nadleśnictwo Zagnańsk deklaruje współdziałanie z Gminą Masłów w zakresie remontu drogi leśnej nr 220/160 w leśnictwie Brzezinki, celem ułatwienia dojazdu do posesji skomunikowanych za pośrednictwem tej drogi. Remont drogi w zasadniczym zakresie planowany jest ze środków własnych Nadleśnictwa.</w:t>
      </w:r>
    </w:p>
    <w:p w14:paraId="49A4D46D" w14:textId="26315161" w:rsidR="005E646C" w:rsidRPr="005E646C" w:rsidRDefault="005E646C" w:rsidP="005E646C">
      <w:r w:rsidRPr="005E646C">
        <w:t xml:space="preserve">6. </w:t>
      </w:r>
      <w:r w:rsidR="00E12B1D">
        <w:t>U</w:t>
      </w:r>
      <w:r w:rsidR="00E12B1D" w:rsidRPr="005E646C">
        <w:t xml:space="preserve">ruchomienie </w:t>
      </w:r>
      <w:r w:rsidRPr="005E646C">
        <w:t>programów wsparcia dla samorządów.</w:t>
      </w:r>
      <w:r w:rsidR="00E12B1D">
        <w:t xml:space="preserve"> Podstawowym programem wsparcia samorządów wszystkich szczebli jest subwencja wyliczana w oparciu o potrzeby ekologiczne. </w:t>
      </w:r>
      <w:r w:rsidR="00D6334C">
        <w:t xml:space="preserve">Ponadto jednostki samorządu terytorialnego mogą we współpracy z Parkiem realizować projekty finansowane ze źródeł zewnętrznych, w tym ze środków UE. </w:t>
      </w:r>
    </w:p>
    <w:p w14:paraId="53763130" w14:textId="77777777" w:rsidR="00FF449D" w:rsidRDefault="00FF449D"/>
    <w:sectPr w:rsidR="00FF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6C"/>
    <w:rsid w:val="001C002F"/>
    <w:rsid w:val="001E69DB"/>
    <w:rsid w:val="002770FB"/>
    <w:rsid w:val="00341D4A"/>
    <w:rsid w:val="005E646C"/>
    <w:rsid w:val="00707B16"/>
    <w:rsid w:val="008075FC"/>
    <w:rsid w:val="00884600"/>
    <w:rsid w:val="00893BD2"/>
    <w:rsid w:val="008A18E8"/>
    <w:rsid w:val="008A2A92"/>
    <w:rsid w:val="0095491B"/>
    <w:rsid w:val="00B071DA"/>
    <w:rsid w:val="00BB20E9"/>
    <w:rsid w:val="00C47871"/>
    <w:rsid w:val="00CA5883"/>
    <w:rsid w:val="00D6334C"/>
    <w:rsid w:val="00E12B1D"/>
    <w:rsid w:val="00EC40E8"/>
    <w:rsid w:val="00F0273A"/>
    <w:rsid w:val="00F35B9E"/>
    <w:rsid w:val="00FF4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D9C0"/>
  <w15:chartTrackingRefBased/>
  <w15:docId w15:val="{95623AEE-D60D-4F6F-8074-CA6680B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646C"/>
    <w:pPr>
      <w:ind w:left="720"/>
      <w:contextualSpacing/>
    </w:pPr>
  </w:style>
  <w:style w:type="character" w:styleId="Odwoaniedokomentarza">
    <w:name w:val="annotation reference"/>
    <w:basedOn w:val="Domylnaczcionkaakapitu"/>
    <w:uiPriority w:val="99"/>
    <w:semiHidden/>
    <w:unhideWhenUsed/>
    <w:rsid w:val="00F35B9E"/>
    <w:rPr>
      <w:sz w:val="16"/>
      <w:szCs w:val="16"/>
    </w:rPr>
  </w:style>
  <w:style w:type="paragraph" w:styleId="Tekstkomentarza">
    <w:name w:val="annotation text"/>
    <w:basedOn w:val="Normalny"/>
    <w:link w:val="TekstkomentarzaZnak"/>
    <w:uiPriority w:val="99"/>
    <w:semiHidden/>
    <w:unhideWhenUsed/>
    <w:rsid w:val="00F35B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5B9E"/>
    <w:rPr>
      <w:sz w:val="20"/>
      <w:szCs w:val="20"/>
    </w:rPr>
  </w:style>
  <w:style w:type="paragraph" w:styleId="Tematkomentarza">
    <w:name w:val="annotation subject"/>
    <w:basedOn w:val="Tekstkomentarza"/>
    <w:next w:val="Tekstkomentarza"/>
    <w:link w:val="TematkomentarzaZnak"/>
    <w:uiPriority w:val="99"/>
    <w:semiHidden/>
    <w:unhideWhenUsed/>
    <w:rsid w:val="00F35B9E"/>
    <w:rPr>
      <w:b/>
      <w:bCs/>
    </w:rPr>
  </w:style>
  <w:style w:type="character" w:customStyle="1" w:styleId="TematkomentarzaZnak">
    <w:name w:val="Temat komentarza Znak"/>
    <w:basedOn w:val="TekstkomentarzaZnak"/>
    <w:link w:val="Tematkomentarza"/>
    <w:uiPriority w:val="99"/>
    <w:semiHidden/>
    <w:rsid w:val="00F35B9E"/>
    <w:rPr>
      <w:b/>
      <w:bCs/>
      <w:sz w:val="20"/>
      <w:szCs w:val="20"/>
    </w:rPr>
  </w:style>
  <w:style w:type="paragraph" w:styleId="Tekstdymka">
    <w:name w:val="Balloon Text"/>
    <w:basedOn w:val="Normalny"/>
    <w:link w:val="TekstdymkaZnak"/>
    <w:uiPriority w:val="99"/>
    <w:semiHidden/>
    <w:unhideWhenUsed/>
    <w:rsid w:val="00F35B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5B9E"/>
    <w:rPr>
      <w:rFonts w:ascii="Segoe UI" w:hAnsi="Segoe UI" w:cs="Segoe UI"/>
      <w:sz w:val="18"/>
      <w:szCs w:val="18"/>
    </w:rPr>
  </w:style>
  <w:style w:type="paragraph" w:styleId="Poprawka">
    <w:name w:val="Revision"/>
    <w:hidden/>
    <w:uiPriority w:val="99"/>
    <w:semiHidden/>
    <w:rsid w:val="00F02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017915">
      <w:bodyDiv w:val="1"/>
      <w:marLeft w:val="0"/>
      <w:marRight w:val="0"/>
      <w:marTop w:val="0"/>
      <w:marBottom w:val="0"/>
      <w:divBdr>
        <w:top w:val="none" w:sz="0" w:space="0" w:color="auto"/>
        <w:left w:val="none" w:sz="0" w:space="0" w:color="auto"/>
        <w:bottom w:val="none" w:sz="0" w:space="0" w:color="auto"/>
        <w:right w:val="none" w:sz="0" w:space="0" w:color="auto"/>
      </w:divBdr>
    </w:div>
    <w:div w:id="1473062576">
      <w:bodyDiv w:val="1"/>
      <w:marLeft w:val="0"/>
      <w:marRight w:val="0"/>
      <w:marTop w:val="0"/>
      <w:marBottom w:val="0"/>
      <w:divBdr>
        <w:top w:val="none" w:sz="0" w:space="0" w:color="auto"/>
        <w:left w:val="none" w:sz="0" w:space="0" w:color="auto"/>
        <w:bottom w:val="none" w:sz="0" w:space="0" w:color="auto"/>
        <w:right w:val="none" w:sz="0" w:space="0" w:color="auto"/>
      </w:divBdr>
    </w:div>
    <w:div w:id="16170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6624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Reklewski</dc:creator>
  <cp:keywords/>
  <dc:description/>
  <cp:lastModifiedBy>Jan Reklewski</cp:lastModifiedBy>
  <cp:revision>2</cp:revision>
  <dcterms:created xsi:type="dcterms:W3CDTF">2024-10-16T08:51:00Z</dcterms:created>
  <dcterms:modified xsi:type="dcterms:W3CDTF">2024-10-16T08:51:00Z</dcterms:modified>
</cp:coreProperties>
</file>